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CC" w:rsidRDefault="00103101">
      <w:pPr>
        <w:pStyle w:val="Titel"/>
        <w:spacing w:before="0"/>
      </w:pPr>
      <w:r>
        <w:t>Presseinformation</w:t>
      </w:r>
    </w:p>
    <w:p w:rsidR="008444CC" w:rsidRDefault="00103101">
      <w:pPr>
        <w:pStyle w:val="berschrift1"/>
        <w:spacing w:after="240"/>
        <w:ind w:right="281"/>
      </w:pPr>
      <w:bookmarkStart w:id="0" w:name="_heading=h.q7fgygv3vrry" w:colFirst="0" w:colLast="0"/>
      <w:bookmarkEnd w:id="0"/>
      <w:r>
        <w:t>Koenig &amp; Bauer verstärkt Fokus auf Nachhaltigkeit</w:t>
      </w:r>
    </w:p>
    <w:p w:rsidR="008444CC" w:rsidRDefault="00103101">
      <w:pPr>
        <w:pStyle w:val="Untertitel"/>
        <w:spacing w:after="240"/>
      </w:pPr>
      <w:r>
        <w:t>Dr. Bernd Heusinger übergibt IR-Stab an Lena Landenberger</w:t>
      </w:r>
    </w:p>
    <w:p w:rsidR="008444CC" w:rsidRDefault="008444CC">
      <w:pPr>
        <w:pBdr>
          <w:top w:val="nil"/>
          <w:left w:val="nil"/>
          <w:bottom w:val="nil"/>
          <w:right w:val="nil"/>
          <w:between w:val="nil"/>
        </w:pBdr>
        <w:spacing w:after="240"/>
        <w:ind w:left="340" w:hanging="340"/>
        <w:rPr>
          <w:color w:val="000000"/>
        </w:rPr>
      </w:pPr>
    </w:p>
    <w:p w:rsidR="008444CC" w:rsidRDefault="004313A7">
      <w:pPr>
        <w:spacing w:after="240"/>
        <w:ind w:right="423"/>
        <w:rPr>
          <w:color w:val="000000"/>
        </w:rPr>
      </w:pPr>
      <w:r>
        <w:t>Würzburg, 14.</w:t>
      </w:r>
      <w:bookmarkStart w:id="1" w:name="_GoBack"/>
      <w:bookmarkEnd w:id="1"/>
      <w:r w:rsidR="00103101">
        <w:t>12.2020</w:t>
      </w:r>
      <w:r w:rsidR="00103101">
        <w:br/>
      </w:r>
      <w:r w:rsidR="00103101">
        <w:rPr>
          <w:color w:val="000000"/>
        </w:rPr>
        <w:t>Mit der Etablierung des Ressorts Nachhaltigkeit unter der Leitung des neuen Vorstandssprechers Dr. Andreas Pleßke baut Koenig &amp; Bauer seine Aktivitäten bei diesem für die weitere Entwicklung der Unternehmensgruppe wichtigen Zukunftsthema deutlich aus. Mita</w:t>
      </w:r>
      <w:r w:rsidR="00103101">
        <w:rPr>
          <w:color w:val="000000"/>
        </w:rPr>
        <w:t>rbeiter (soziale Verantwortung), Umwelt (ökologische Verantwortung), Governance, Gesellschaft &amp; Soziales sowie Integrität &amp; Compliance sind die fünf Säulen des Nachhaltigkeitskonzepts von Koenig &amp; Bauer. Als Wegweiser dient die Agenda 2030 der Vereinten Na</w:t>
      </w:r>
      <w:r w:rsidR="00103101">
        <w:rPr>
          <w:color w:val="000000"/>
        </w:rPr>
        <w:t>tionen, die weltweit mit ihren 17 Zielen auf die Sicherung einer nachhaltigen Entwicklung auf ökonomischer, sozialer sowie ökologischer Ebene abzielt. Dr. Bernd Heusinger, der seit 1999 verschiedene Funktionen bei Koenig &amp; Bauer begleitet hat, wird neben s</w:t>
      </w:r>
      <w:r w:rsidR="00103101">
        <w:rPr>
          <w:color w:val="000000"/>
        </w:rPr>
        <w:t>einen bisherigen Aufgaben für den Aufsichtsrat der Koenig &amp; Bauer AG im Corporate Office die Verantwortung für das Themengebiet Nachhaltigkeit übernehmen. Den Aufgabenbereich Investor Relations, der im Vorstandsressort Finanzen unter der Leitung von Dr. St</w:t>
      </w:r>
      <w:r w:rsidR="00103101">
        <w:rPr>
          <w:color w:val="000000"/>
        </w:rPr>
        <w:t>ephen Kimmich angesiedelt ist, wird ab 1. Januar 2021 Lena Landenberger übernehmen.</w:t>
      </w:r>
    </w:p>
    <w:p w:rsidR="008444CC" w:rsidRDefault="00103101">
      <w:pPr>
        <w:spacing w:after="240"/>
        <w:ind w:right="423"/>
        <w:rPr>
          <w:color w:val="000000"/>
        </w:rPr>
      </w:pPr>
      <w:bookmarkStart w:id="2" w:name="_heading=h.gjdgxs" w:colFirst="0" w:colLast="0"/>
      <w:bookmarkEnd w:id="2"/>
      <w:r>
        <w:rPr>
          <w:color w:val="000000"/>
        </w:rPr>
        <w:t>Lena Landenberger begann nach ihrem Studium zur Diplom-Wirtschaftsjuristin ihren Berufsweg in der Wirtschaftsprüfung bei der Ernst &amp; Young AG. Danach war sie drei Jahre lan</w:t>
      </w:r>
      <w:r>
        <w:rPr>
          <w:color w:val="000000"/>
        </w:rPr>
        <w:t>g im Bereich Investor Relations, Wirtschaftspresse und Unternehmenskommunikation bei der ElringKlinger AG tätig. Sie wechselte im Juli 2011 als Investor Relations Manager zu der Heidelberger Druckmaschinen AG und absolvierte hier berufsbegleitend den Maste</w:t>
      </w:r>
      <w:r>
        <w:rPr>
          <w:color w:val="000000"/>
        </w:rPr>
        <w:t>r in Business Law (LL.M.).</w:t>
      </w:r>
    </w:p>
    <w:p w:rsidR="008444CC" w:rsidRDefault="00103101">
      <w:pPr>
        <w:spacing w:after="240"/>
        <w:ind w:right="423"/>
        <w:rPr>
          <w:color w:val="000000"/>
        </w:rPr>
      </w:pPr>
      <w:r>
        <w:rPr>
          <w:b/>
          <w:color w:val="000000"/>
        </w:rPr>
        <w:t>Foto:</w:t>
      </w:r>
      <w:r>
        <w:rPr>
          <w:b/>
        </w:rPr>
        <w:br/>
      </w:r>
      <w:r>
        <w:rPr>
          <w:color w:val="000000"/>
        </w:rPr>
        <w:t>Lena Landenberger verantwortet künftig bei Koenig &amp; Bauer die Investor Relations</w:t>
      </w:r>
    </w:p>
    <w:p w:rsidR="008444CC" w:rsidRDefault="008444CC">
      <w:pPr>
        <w:spacing w:after="240"/>
        <w:ind w:right="423"/>
        <w:rPr>
          <w:color w:val="000000"/>
        </w:rPr>
      </w:pPr>
    </w:p>
    <w:p w:rsidR="008444CC" w:rsidRDefault="00103101">
      <w:pPr>
        <w:spacing w:after="240"/>
      </w:pPr>
      <w:r>
        <w:rPr>
          <w:b/>
        </w:rPr>
        <w:t>Ansprechpartner für die Presse</w:t>
      </w:r>
      <w:r>
        <w:br/>
        <w:t>Koenig &amp; Bauer AG</w:t>
      </w:r>
      <w:r>
        <w:br/>
        <w:t>Dagmar Ringel</w:t>
      </w:r>
      <w:r>
        <w:br/>
        <w:t>T +49 931 909-6756</w:t>
      </w:r>
      <w:r>
        <w:br/>
        <w:t xml:space="preserve">M </w:t>
      </w:r>
      <w:hyperlink r:id="rId8">
        <w:r>
          <w:rPr>
            <w:color w:val="F02D32"/>
          </w:rPr>
          <w:t>dagmar.ringel@koenig-bauer.com</w:t>
        </w:r>
      </w:hyperlink>
    </w:p>
    <w:p w:rsidR="008444CC" w:rsidRPr="004313A7" w:rsidRDefault="00103101">
      <w:pPr>
        <w:pStyle w:val="berschrift4"/>
        <w:rPr>
          <w:lang w:val="de-DE"/>
        </w:rPr>
      </w:pPr>
      <w:r w:rsidRPr="004313A7">
        <w:rPr>
          <w:lang w:val="de-DE"/>
        </w:rPr>
        <w:t>Über Koenig &amp; Bauer</w:t>
      </w:r>
    </w:p>
    <w:p w:rsidR="008444CC" w:rsidRDefault="00103101">
      <w:pPr>
        <w:spacing w:after="240"/>
      </w:pPr>
      <w:r>
        <w:t>Koenig &amp; Bauer ist der älteste Druckmaschinenhersteller der Welt mit dem breitesten Produktprogramm der Branche. Seit über 200 Jahren unterstützt das Unternehmen die Drucker mit innovativer Technik, passge</w:t>
      </w:r>
      <w:r>
        <w:t xml:space="preserve">nauen Verfahren und vielfältigen Services. Das Portfolio reicht von </w:t>
      </w:r>
      <w:r>
        <w:lastRenderedPageBreak/>
        <w:t>Banknoten über Karton-, Folien-, Blech- und Glasverpackungen bis hin zum Bücher-, Display-, Kennzeichnungs-, Dekor-, Magazin-, Werbe- und Zeitungsdruck. Offset- und Flexodruck bei Bogen un</w:t>
      </w:r>
      <w:r>
        <w:t>d Rolle, wasserloser Offset, Stahlstich-, Simultan- und Siebdruck oder digitaler Inkjetdruck – in fast allen Druckverfahren ist Koenig &amp; Bauer zu Hause und häufig führend. Im Geschäftsjahr 2019 erwirtschafteten die 5.800 hoch qualifizierten Mitarbeiterinne</w:t>
      </w:r>
      <w:r>
        <w:t>n und Mitarbeiter weltweit einen Jahresumsatz von über 1,2 Milliarden Euro.</w:t>
      </w:r>
    </w:p>
    <w:p w:rsidR="008444CC" w:rsidRDefault="00103101">
      <w:pPr>
        <w:spacing w:after="240"/>
      </w:pPr>
      <w:r>
        <w:t xml:space="preserve">Weitere Informationen unter </w:t>
      </w:r>
      <w:hyperlink r:id="rId9">
        <w:r>
          <w:rPr>
            <w:color w:val="1155CC"/>
            <w:u w:val="single"/>
          </w:rPr>
          <w:t>www.koenig-bauer.com</w:t>
        </w:r>
      </w:hyperlink>
    </w:p>
    <w:p w:rsidR="008444CC" w:rsidRDefault="008444CC">
      <w:pPr>
        <w:spacing w:after="240"/>
      </w:pPr>
    </w:p>
    <w:sectPr w:rsidR="008444CC">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01" w:rsidRDefault="00103101">
      <w:pPr>
        <w:spacing w:after="240" w:line="240" w:lineRule="auto"/>
      </w:pPr>
      <w:r>
        <w:separator/>
      </w:r>
    </w:p>
  </w:endnote>
  <w:endnote w:type="continuationSeparator" w:id="0">
    <w:p w:rsidR="00103101" w:rsidRDefault="00103101">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CC" w:rsidRDefault="008444CC">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CC" w:rsidRDefault="00103101">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Koenig &amp;</w:t>
    </w:r>
    <w:r>
      <w:rPr>
        <w:sz w:val="14"/>
        <w:szCs w:val="14"/>
      </w:rPr>
      <w:t xml:space="preserve"> Bauer verstärkt Fokus auf Nachhaltigkeit </w:t>
    </w:r>
    <w:r>
      <w:rPr>
        <w:color w:val="000000"/>
        <w:sz w:val="14"/>
        <w:szCs w:val="14"/>
      </w:rPr>
      <w:t xml:space="preserve">| </w:t>
    </w:r>
    <w:r>
      <w:rPr>
        <w:color w:val="000000"/>
        <w:sz w:val="14"/>
        <w:szCs w:val="14"/>
      </w:rPr>
      <w:fldChar w:fldCharType="begin"/>
    </w:r>
    <w:r>
      <w:rPr>
        <w:color w:val="000000"/>
        <w:sz w:val="14"/>
        <w:szCs w:val="14"/>
      </w:rPr>
      <w:instrText>PAGE</w:instrText>
    </w:r>
    <w:r w:rsidR="004313A7">
      <w:rPr>
        <w:color w:val="000000"/>
        <w:sz w:val="14"/>
        <w:szCs w:val="14"/>
      </w:rPr>
      <w:fldChar w:fldCharType="separate"/>
    </w:r>
    <w:r w:rsidR="004313A7">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CC" w:rsidRDefault="00103101">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Neubesetzung des IR-Bereiches bei Koenig &amp; Bauer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01" w:rsidRDefault="00103101">
      <w:pPr>
        <w:spacing w:after="240" w:line="240" w:lineRule="auto"/>
      </w:pPr>
      <w:r>
        <w:separator/>
      </w:r>
    </w:p>
  </w:footnote>
  <w:footnote w:type="continuationSeparator" w:id="0">
    <w:p w:rsidR="00103101" w:rsidRDefault="00103101">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CC" w:rsidRDefault="008444CC">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CC" w:rsidRDefault="0010310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4CC" w:rsidRDefault="0010310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31658"/>
    <w:multiLevelType w:val="multilevel"/>
    <w:tmpl w:val="D91A325C"/>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CC"/>
    <w:rsid w:val="00103101"/>
    <w:rsid w:val="004313A7"/>
    <w:rsid w:val="00844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78FD8-B4DC-4DA8-AE00-21CE3830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1"/>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2"/>
      </w:numPr>
      <w:spacing w:line="283" w:lineRule="auto"/>
    </w:pPr>
  </w:style>
  <w:style w:type="paragraph" w:customStyle="1" w:styleId="Nummerierungberschrift3">
    <w:name w:val="Nummerierung Überschrift 3"/>
    <w:basedOn w:val="berschrift3"/>
    <w:next w:val="Standard"/>
    <w:rsid w:val="00265400"/>
    <w:pPr>
      <w:numPr>
        <w:ilvl w:val="2"/>
        <w:numId w:val="2"/>
      </w:numPr>
    </w:pPr>
  </w:style>
  <w:style w:type="paragraph" w:customStyle="1" w:styleId="Nummerierungberschrift4">
    <w:name w:val="Nummerierung Überschrift 4"/>
    <w:basedOn w:val="berschrift4"/>
    <w:next w:val="Standard"/>
    <w:rsid w:val="00E30EBC"/>
    <w:pPr>
      <w:numPr>
        <w:ilvl w:val="3"/>
        <w:numId w:val="2"/>
      </w:numPr>
    </w:pPr>
  </w:style>
  <w:style w:type="paragraph" w:customStyle="1" w:styleId="Nummerierungberschrift5">
    <w:name w:val="Nummerierung Überschrift 5"/>
    <w:basedOn w:val="berschrift5"/>
    <w:next w:val="Standard"/>
    <w:semiHidden/>
    <w:rsid w:val="007A0146"/>
    <w:pPr>
      <w:numPr>
        <w:ilvl w:val="4"/>
        <w:numId w:val="2"/>
      </w:numPr>
    </w:pPr>
  </w:style>
  <w:style w:type="paragraph" w:customStyle="1" w:styleId="Nummerierungberschrift6">
    <w:name w:val="Nummerierung Überschrift 6"/>
    <w:basedOn w:val="berschrift6"/>
    <w:next w:val="Standard"/>
    <w:semiHidden/>
    <w:rsid w:val="008C5FFE"/>
    <w:pPr>
      <w:numPr>
        <w:ilvl w:val="5"/>
        <w:numId w:val="2"/>
      </w:numPr>
    </w:pPr>
  </w:style>
  <w:style w:type="paragraph" w:customStyle="1" w:styleId="Nummerierungberschrift7">
    <w:name w:val="Nummerierung Überschrift 7"/>
    <w:basedOn w:val="berschrift7"/>
    <w:next w:val="Standard"/>
    <w:semiHidden/>
    <w:rsid w:val="008C5FFE"/>
    <w:pPr>
      <w:numPr>
        <w:ilvl w:val="6"/>
        <w:numId w:val="2"/>
      </w:numPr>
    </w:pPr>
  </w:style>
  <w:style w:type="paragraph" w:customStyle="1" w:styleId="Nummerierungberschrift8">
    <w:name w:val="Nummerierung Überschrift 8"/>
    <w:basedOn w:val="berschrift8"/>
    <w:next w:val="Standard"/>
    <w:semiHidden/>
    <w:rsid w:val="008C5FFE"/>
    <w:pPr>
      <w:numPr>
        <w:ilvl w:val="7"/>
        <w:numId w:val="2"/>
      </w:numPr>
    </w:pPr>
  </w:style>
  <w:style w:type="paragraph" w:customStyle="1" w:styleId="Nummerierungberschrift9">
    <w:name w:val="Nummerierung Überschrift 9"/>
    <w:basedOn w:val="berschrift9"/>
    <w:next w:val="Standard"/>
    <w:semiHidden/>
    <w:rsid w:val="008C5FFE"/>
    <w:pPr>
      <w:numPr>
        <w:ilvl w:val="8"/>
        <w:numId w:val="2"/>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eastAsia="Times New Roman"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eastAsia="Times New Roman" w:cs="Times New Roman"/>
      <w:color w:val="0A0A0A"/>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dbdQ1dlR3iK6BE9rHIRHz/UMQ==">AMUW2mVzUo722YD3f3YWjlRd8Vz+VLB0946oxsyI0sIy1R2FiK2uT7tpOzesZMkogZ1T/nnOPA9G9WaLNkJBzrzPUi93QPf67BDffwXl2W6S/RWcgiNrlpbVH3FYivmgvPPk7vNriiHQdFrBzZL0u4A742xCbKCSOA==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2487</Characters>
  <Application>Microsoft Office Word</Application>
  <DocSecurity>0</DocSecurity>
  <Lines>20</Lines>
  <Paragraphs>5</Paragraphs>
  <ScaleCrop>false</ScaleCrop>
  <Company>Koenig &amp; Bauer AG</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2020-12-11T12:49:00Z</dcterms:created>
  <dcterms:modified xsi:type="dcterms:W3CDTF">2020-12-14T15:54:00Z</dcterms:modified>
</cp:coreProperties>
</file>